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B643B5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27</w:t>
      </w:r>
      <w:r w:rsidR="00466925">
        <w:rPr>
          <w:b/>
          <w:sz w:val="32"/>
          <w:szCs w:val="32"/>
        </w:rPr>
        <w:t>,</w:t>
      </w:r>
      <w:r w:rsidR="00096504" w:rsidRPr="00096504">
        <w:rPr>
          <w:b/>
          <w:sz w:val="32"/>
          <w:szCs w:val="32"/>
        </w:rPr>
        <w:t xml:space="preserve"> 201</w:t>
      </w:r>
      <w:r w:rsidR="00E60D4C"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</w:t>
      </w:r>
      <w:r w:rsidR="00B23968">
        <w:rPr>
          <w:b/>
          <w:sz w:val="32"/>
          <w:szCs w:val="32"/>
        </w:rPr>
        <w:t>2</w:t>
      </w:r>
      <w:r w:rsidRPr="00096504">
        <w:rPr>
          <w:b/>
          <w:sz w:val="32"/>
          <w:szCs w:val="32"/>
        </w:rPr>
        <w:t>:</w:t>
      </w:r>
      <w:r w:rsidR="00B23968">
        <w:rPr>
          <w:b/>
          <w:sz w:val="32"/>
          <w:szCs w:val="32"/>
        </w:rPr>
        <w:t>30</w:t>
      </w:r>
      <w:r w:rsidRPr="00096504">
        <w:rPr>
          <w:b/>
          <w:sz w:val="32"/>
          <w:szCs w:val="32"/>
        </w:rPr>
        <w:t xml:space="preserve"> </w:t>
      </w:r>
      <w:r w:rsidR="00B23968">
        <w:rPr>
          <w:b/>
          <w:sz w:val="32"/>
          <w:szCs w:val="32"/>
        </w:rPr>
        <w:t>P</w:t>
      </w:r>
      <w:r w:rsidRPr="00096504">
        <w:rPr>
          <w:b/>
          <w:sz w:val="32"/>
          <w:szCs w:val="32"/>
        </w:rPr>
        <w:t>.M.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Algiers </w:t>
      </w:r>
      <w:r w:rsidRPr="00096504">
        <w:rPr>
          <w:b/>
          <w:sz w:val="32"/>
          <w:szCs w:val="32"/>
        </w:rPr>
        <w:t>Behavioral Health Clinic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3100 General DeGaulle Drive, </w:t>
      </w:r>
      <w:r w:rsidRPr="00096504">
        <w:rPr>
          <w:b/>
          <w:sz w:val="32"/>
          <w:szCs w:val="32"/>
        </w:rPr>
        <w:t>New Orleans, LA 701</w:t>
      </w:r>
      <w:r>
        <w:rPr>
          <w:b/>
          <w:sz w:val="32"/>
          <w:szCs w:val="32"/>
        </w:rPr>
        <w:t>14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 Room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Call to Order and Introductions</w:t>
      </w:r>
    </w:p>
    <w:p w:rsidR="00BE3989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B643B5">
        <w:rPr>
          <w:sz w:val="28"/>
          <w:szCs w:val="28"/>
        </w:rPr>
        <w:t>September 29, 2017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  <w:r w:rsidR="008F0344">
        <w:rPr>
          <w:sz w:val="28"/>
          <w:szCs w:val="28"/>
        </w:rPr>
        <w:t xml:space="preserve">  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4C38D7" w:rsidRDefault="00E87836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</w:p>
    <w:p w:rsidR="00A844D6" w:rsidRDefault="00E8783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</w:t>
      </w:r>
      <w:r w:rsidR="00A844D6">
        <w:rPr>
          <w:rFonts w:cs="Times New Roman"/>
          <w:color w:val="000000"/>
          <w:sz w:val="28"/>
          <w:szCs w:val="28"/>
        </w:rPr>
        <w:t>V.</w:t>
      </w:r>
      <w:r w:rsidR="00A844D6"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B07E8A">
        <w:rPr>
          <w:rFonts w:cs="Times New Roman"/>
          <w:color w:val="000000"/>
          <w:sz w:val="28"/>
          <w:szCs w:val="28"/>
        </w:rPr>
        <w:t>Introduction of New Staff</w:t>
      </w:r>
      <w:r w:rsidR="00B07E8A">
        <w:rPr>
          <w:sz w:val="28"/>
          <w:szCs w:val="28"/>
        </w:rPr>
        <w:t xml:space="preserve"> </w:t>
      </w:r>
    </w:p>
    <w:p w:rsidR="00A844D6" w:rsidRDefault="00A844D6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B.</w:t>
      </w:r>
      <w:r>
        <w:rPr>
          <w:rFonts w:cs="Times New Roman"/>
          <w:color w:val="000000"/>
          <w:sz w:val="28"/>
          <w:szCs w:val="28"/>
        </w:rPr>
        <w:tab/>
      </w:r>
      <w:r w:rsidR="00642DE2">
        <w:rPr>
          <w:rFonts w:cs="Times New Roman"/>
          <w:color w:val="000000"/>
          <w:sz w:val="28"/>
          <w:szCs w:val="28"/>
        </w:rPr>
        <w:t>Fiscal/</w:t>
      </w:r>
      <w:r>
        <w:rPr>
          <w:sz w:val="28"/>
          <w:szCs w:val="28"/>
        </w:rPr>
        <w:t>Budget</w:t>
      </w:r>
    </w:p>
    <w:p w:rsidR="00620F2A" w:rsidRDefault="00B643B5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C</w:t>
      </w:r>
      <w:r w:rsidR="00620F2A">
        <w:rPr>
          <w:sz w:val="28"/>
          <w:szCs w:val="28"/>
        </w:rPr>
        <w:t>.</w:t>
      </w:r>
      <w:r w:rsidR="00620F2A">
        <w:rPr>
          <w:sz w:val="28"/>
          <w:szCs w:val="28"/>
        </w:rPr>
        <w:tab/>
        <w:t>Quality Control Data Analysis</w:t>
      </w:r>
    </w:p>
    <w:p w:rsidR="008F0344" w:rsidRDefault="00B643B5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F0344">
        <w:rPr>
          <w:sz w:val="28"/>
          <w:szCs w:val="28"/>
        </w:rPr>
        <w:t>.</w:t>
      </w:r>
      <w:r w:rsidR="008F0344">
        <w:rPr>
          <w:sz w:val="28"/>
          <w:szCs w:val="28"/>
        </w:rPr>
        <w:tab/>
      </w:r>
      <w:r>
        <w:rPr>
          <w:sz w:val="28"/>
          <w:szCs w:val="28"/>
        </w:rPr>
        <w:t xml:space="preserve">Strategic Planning </w:t>
      </w:r>
      <w:r w:rsidR="001408DC">
        <w:rPr>
          <w:sz w:val="28"/>
          <w:szCs w:val="28"/>
        </w:rPr>
        <w:t>Update</w:t>
      </w:r>
      <w:bookmarkStart w:id="0" w:name="_GoBack"/>
      <w:bookmarkEnd w:id="0"/>
    </w:p>
    <w:p w:rsidR="008F0344" w:rsidRDefault="008F0344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F1872" w:rsidRDefault="005F1872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</w:p>
    <w:p w:rsidR="00BF4E4A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V.</w:t>
      </w:r>
      <w:r w:rsidR="00A844D6"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VII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E87836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B643B5">
        <w:rPr>
          <w:sz w:val="28"/>
          <w:szCs w:val="28"/>
        </w:rPr>
        <w:t>November 17</w:t>
      </w:r>
      <w:r w:rsidR="00466925">
        <w:rPr>
          <w:sz w:val="28"/>
          <w:szCs w:val="28"/>
        </w:rPr>
        <w:t>,</w:t>
      </w:r>
      <w:r w:rsidR="00BE0467">
        <w:rPr>
          <w:sz w:val="28"/>
          <w:szCs w:val="28"/>
        </w:rPr>
        <w:t xml:space="preserve"> 2017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IX</w:t>
      </w:r>
      <w:r w:rsidR="00BF4E4A" w:rsidRPr="00BF4E4A">
        <w:rPr>
          <w:rFonts w:eastAsia="Times New Roman" w:cs="Times New Roman"/>
          <w:sz w:val="28"/>
          <w:szCs w:val="28"/>
        </w:rPr>
        <w:t>.</w:t>
      </w:r>
      <w:r w:rsidR="00BF4E4A"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CB3"/>
    <w:multiLevelType w:val="hybridMultilevel"/>
    <w:tmpl w:val="5FC2FEBC"/>
    <w:lvl w:ilvl="0" w:tplc="BF084DF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245E3"/>
    <w:rsid w:val="00046832"/>
    <w:rsid w:val="000818EE"/>
    <w:rsid w:val="00096504"/>
    <w:rsid w:val="000B5780"/>
    <w:rsid w:val="000C075D"/>
    <w:rsid w:val="000C256D"/>
    <w:rsid w:val="000D2BB9"/>
    <w:rsid w:val="001408DC"/>
    <w:rsid w:val="001807FE"/>
    <w:rsid w:val="001C4121"/>
    <w:rsid w:val="002A01FB"/>
    <w:rsid w:val="002B457E"/>
    <w:rsid w:val="002D6BC8"/>
    <w:rsid w:val="00306F5B"/>
    <w:rsid w:val="0031035D"/>
    <w:rsid w:val="003337B5"/>
    <w:rsid w:val="003411EB"/>
    <w:rsid w:val="0037496E"/>
    <w:rsid w:val="004302BB"/>
    <w:rsid w:val="00447289"/>
    <w:rsid w:val="00466925"/>
    <w:rsid w:val="00475188"/>
    <w:rsid w:val="00480961"/>
    <w:rsid w:val="004B0974"/>
    <w:rsid w:val="004C38D7"/>
    <w:rsid w:val="004D5365"/>
    <w:rsid w:val="005101F5"/>
    <w:rsid w:val="00582A9A"/>
    <w:rsid w:val="005C2513"/>
    <w:rsid w:val="005F1872"/>
    <w:rsid w:val="0061793C"/>
    <w:rsid w:val="00620F2A"/>
    <w:rsid w:val="00642DE2"/>
    <w:rsid w:val="0068540D"/>
    <w:rsid w:val="006E71C2"/>
    <w:rsid w:val="00753E5B"/>
    <w:rsid w:val="007606A9"/>
    <w:rsid w:val="007D0458"/>
    <w:rsid w:val="007E7C14"/>
    <w:rsid w:val="007F56B8"/>
    <w:rsid w:val="00826EF2"/>
    <w:rsid w:val="00836CF9"/>
    <w:rsid w:val="00842D70"/>
    <w:rsid w:val="008A1762"/>
    <w:rsid w:val="008B17FE"/>
    <w:rsid w:val="008F0344"/>
    <w:rsid w:val="009610A0"/>
    <w:rsid w:val="00991B85"/>
    <w:rsid w:val="009A59F1"/>
    <w:rsid w:val="009C7D7A"/>
    <w:rsid w:val="00A040A8"/>
    <w:rsid w:val="00A811AC"/>
    <w:rsid w:val="00A844D6"/>
    <w:rsid w:val="00AA1DBB"/>
    <w:rsid w:val="00AB6601"/>
    <w:rsid w:val="00AD36A5"/>
    <w:rsid w:val="00B07E8A"/>
    <w:rsid w:val="00B23968"/>
    <w:rsid w:val="00B643B5"/>
    <w:rsid w:val="00BA51AD"/>
    <w:rsid w:val="00BB714B"/>
    <w:rsid w:val="00BC67FA"/>
    <w:rsid w:val="00BE0467"/>
    <w:rsid w:val="00BE3989"/>
    <w:rsid w:val="00BF4E4A"/>
    <w:rsid w:val="00BF52F9"/>
    <w:rsid w:val="00C0653B"/>
    <w:rsid w:val="00C85CF2"/>
    <w:rsid w:val="00C87299"/>
    <w:rsid w:val="00CB6309"/>
    <w:rsid w:val="00CD63BA"/>
    <w:rsid w:val="00CF7427"/>
    <w:rsid w:val="00D77E3A"/>
    <w:rsid w:val="00DA0749"/>
    <w:rsid w:val="00DA796C"/>
    <w:rsid w:val="00E3409A"/>
    <w:rsid w:val="00E56C2D"/>
    <w:rsid w:val="00E60D4C"/>
    <w:rsid w:val="00E653DB"/>
    <w:rsid w:val="00E87836"/>
    <w:rsid w:val="00EA010C"/>
    <w:rsid w:val="00EF23E3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B5D765C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50DAD-F5E3-42F1-AD62-4B3DDAA0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4</cp:revision>
  <cp:lastPrinted>2017-06-28T17:58:00Z</cp:lastPrinted>
  <dcterms:created xsi:type="dcterms:W3CDTF">2017-10-25T20:09:00Z</dcterms:created>
  <dcterms:modified xsi:type="dcterms:W3CDTF">2017-10-25T20:10:00Z</dcterms:modified>
</cp:coreProperties>
</file>